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26" w:rsidRPr="00E40226" w:rsidRDefault="00E40226" w:rsidP="00E40226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0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Prof. </w:t>
      </w:r>
      <w:proofErr w:type="spellStart"/>
      <w:r w:rsidRPr="00E40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Zvi</w:t>
      </w:r>
      <w:proofErr w:type="spellEnd"/>
      <w:r w:rsidRPr="00E40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Yaron</w:t>
      </w:r>
      <w:proofErr w:type="spellEnd"/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Quick navigation: </w:t>
      </w:r>
    </w:p>
    <w:p w:rsidR="00E40226" w:rsidRPr="00E40226" w:rsidRDefault="00E40226" w:rsidP="00E402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anchor_cv" w:tooltip="CV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CV</w:t>
        </w:r>
      </w:hyperlink>
    </w:p>
    <w:p w:rsidR="00E40226" w:rsidRPr="00E40226" w:rsidRDefault="00E40226" w:rsidP="00E402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nchor_research" w:tooltip="Research Interests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Interests</w:t>
        </w:r>
      </w:hyperlink>
    </w:p>
    <w:p w:rsidR="00E40226" w:rsidRPr="00E40226" w:rsidRDefault="00E40226" w:rsidP="00E402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anchor_publications" w:tooltip="Recent Publications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Recent Publications</w:t>
        </w:r>
      </w:hyperlink>
    </w:p>
    <w:p w:rsidR="00E40226" w:rsidRPr="00E40226" w:rsidRDefault="00E40226" w:rsidP="00E402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Hebrew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Hebrew</w:t>
        </w:r>
      </w:hyperlink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714500"/>
            <wp:effectExtent l="0" t="0" r="0" b="0"/>
            <wp:docPr id="1" name="Picture 1" descr="Prof. Zvi Y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Zvi Ya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0" w:tooltip="yaronz@tauex.tau.ac.il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yaronz@tauex.tau.ac.il</w:t>
        </w:r>
      </w:hyperlink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Phone: 03-6409398</w:t>
      </w:r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Fax: 03-6405606</w:t>
      </w:r>
    </w:p>
    <w:p w:rsidR="00E40226" w:rsidRPr="00E40226" w:rsidRDefault="00E40226" w:rsidP="00E40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Office: Sherman - Life Sciences, 407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Ph.D. 1969, The Hebrew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Uniersity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Jerusalem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  <w:t>Post- doc: 1969-1970: University of California, Berkeley, USA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  <w:t>1970-1971: University of Alberta, Calgary, Canada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  <w:t>Faculty member, Tel Aviv University since 1965.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  <w:t>Editorial board: Aquaculture (Elsevier); Israel J. Aquaculture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  <w:t xml:space="preserve">1996-2003: Incumbent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Lederer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Chair of Experimental Biology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Research interests include:</w:t>
      </w:r>
    </w:p>
    <w:p w:rsidR="00E40226" w:rsidRPr="00E40226" w:rsidRDefault="00E40226" w:rsidP="00E4022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Hypothalamic regulation of fish gonadotropins, release and subunit gene expression (signal transduction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,  PACAP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NPY).</w:t>
      </w:r>
    </w:p>
    <w:p w:rsidR="00E40226" w:rsidRPr="00E40226" w:rsidRDefault="00E40226" w:rsidP="00E4022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Spawning induction in cyprinid fish,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hypophyseal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hypothalamic approaches.</w:t>
      </w:r>
    </w:p>
    <w:p w:rsidR="00E40226" w:rsidRPr="00E40226" w:rsidRDefault="00E40226" w:rsidP="00E4022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Endocrine disrupters (environmental estrogens).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Recent Publications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Eliyahu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Pisanty-Farhi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O., Rentier-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Delrue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Smal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Hypothalamic and thyroidal regulation of growth hormone in tilapia. Gen.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Endocrinol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97, 13-30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Z. Endocrine control of gametogenesis and spawning induction in the carp. Aquaculture, 129, 49-73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Possible sites of dopaminergic inhibition of gonadotropin release from the pituitary of a teleost fish, tilapia. Mol. Cell.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Endocrinol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109, 87-95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Eliahu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Smal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J., Rentier-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Delrue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F.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Z. The effects of gonadal development and sex steroids on growth hormone secretion in the male tilapia hybrid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Oreochromis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niloticus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x O. aureus). Fish Physiol.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14, 267-277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Kulikovsky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Marttin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F.J.B.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 comparison of two spawning- inducing agents for common carp. Isr. J.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Aquacult</w:t>
      </w:r>
      <w:proofErr w:type="spellEnd"/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Bamidgeh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48, 108-111 (1996).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A., Rosenfeld, H., Rentier-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Delrue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F.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Z.Differential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effects of gonadotropin releasing hormone, dopamine and somatostatin and their second messengers on the mRNA levels of gonadotropin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IIß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subunit and growth hormone in the teleost fish, tilapia. Neuroendocrinology 64, 320-328 (1996).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Poncelet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A.C.,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Müller,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Martial, J.A.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Belayew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The tilapia prolactin I gene: evolutionary conservation of the regulatory elements directing pituitary-specific expression. DNA Cell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15, 679-692 (1996).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Rothbard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Breeding behavior and the associated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steroid levels in female Nile tilapia,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oreochromis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niloticus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Pol. Arch.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Hydrobiol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44, 83-92 (1997).</w:t>
      </w:r>
    </w:p>
    <w:p w:rsid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The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ß subunits of tilapia: gene cloning and expression. Fish Physiol.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17, 85-92 (1997).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The mRNA levels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Iß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IIß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GH in relation to testicular development and testosterone treatment in pituitaries of male tilapia. Fish Physiol.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17, 93-98 (1997).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Monbrison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D,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Tzchori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I., Holland, M.C., Zohar, Y.,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,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Acceleration of gonadal development and spawning induction in the Mediterranean grey mullet,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Mugil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cephalus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: preliminary studies. Isr. J. Aquaculture –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Bamidgeh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49, 214-221. (1997).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Endocrine regulation of gonadotropin and growth hormone gene transcription in fish.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Physiol. C119, 325-338 (1998).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Rosenfeld, H.,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Second messengers involved in the response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cells in fish: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release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IIß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mRNA levels. Ann. N.Y. Acad. Sci. 839, 254-259 (1998).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The genes encoding the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ß subunits in tilapia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Ann. N.Y. Acad. Sci. 839, 455-457 (1998).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Interactions between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gonadotrophs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somatotrophs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in the pituitary of tilapia: apparent roles for insulin-like growth factors-I and estradiol. Endocrinology 140: 1183-1191 (1999).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Calcium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ionophores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lead to apoptotic-like changes in tilapia pituitary cells. Gen.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Endocrinol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114: 19-27 (1999).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Schulz, R.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Z.Reproductive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development of male and females tilapia hybrids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Oreochromis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niloticus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x O. aureus) and changes in mRNA levels of gonadotropin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IIbsubunits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J. Exp. Zool. 286, 64-75.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Gissis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The pituitary-gonadal axis during maturation of the black carp,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Mylopharyngodon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piceus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J. Exp. Zool. 286, 405-413.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Functional analysis of tilapia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FSHb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promoter.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Physiol.129B, 389-398. (2001).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Bonfil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D.,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Safarian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signaling in tilapia pituitary cells: role of mitogen-activated protein kinase (MAPK).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Physiol. 129B, 517-524. (2001).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Z.Molecular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cloning of cDNA encoding tilapia glycoprotein subunit and its hypothalamic regulation. Mol. Cell.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Endocrinol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182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,: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49-60 (2001).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Gur. G.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Bonfil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Safarian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signaling pathways regulate differentially the tilapia gonadotropin subunit genes. Mol. Cell.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Endocrinol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189, 125-134 (2002).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Bonfil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Safarian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Z. PACAP and NPY signaling pathways are involved in the regulation of gonadotropin subunit genes in tilapia. Neuroendocrinology 75, 164-174 (2002).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Kandel-Kfir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M., Gur, G,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Zilberstein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Y, Cohen, Y,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Zmora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Kobayashi, M,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A.,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Gonadotropin response to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during sexual ontogeny in the common carp,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Cyprinus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carpio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Comp.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Physiol. 132B, 17-26. (2002).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Gur, G., Rosenfeld, H.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Spawning induction in fish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regulation of gonadotropins: modes of action. Fisheries Sciences 68 (Suppl.): 661-666. (2002).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-Sivan, B. Regulation of fish gonadotropins. Int. Rev. Cytology 225, 131-185 (2003).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lastRenderedPageBreak/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Z .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al. Spawning induction in the carp: Past experience and future prospects – a review. Isr. J. aquaculture 61, 5-26. (2009).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Chapters in Books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Rothbard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Broodstock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management and egg and larval quality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carp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In "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Broodstock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Management and Egg and Larval Quality" (N.R.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Bromage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R.J. Roberts, Eds.). Blackwell Science, pp. 321-352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Drori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Rothbard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 The Endocrine control of reproduction in the carp. In "The Carp" (G.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Wohlfarth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G.Hulata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Eds.). Israel Fish Breeding Association. (1995). (Hebrew).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Rothbard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Lubzens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Technology of carp breeding. In "The Carp" (G.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Wohlfarth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G.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Hulata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Eds.). Israel Fish Breeding Association. (1995). (Hebrew).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Poncelet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A.C.,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Martial, J.A. and Muller, M. Regulation of prolactin gene expression in fishes. In: "Recent Advances in Marine Biotechnology" (R.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Nagabhushanan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M.F. Thompson and M.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Fingerman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Eds.). Oxford and IBH New Delhi, pp. 383-405. (1996).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Sivan, B. Reproduction. In “The Physiology of Fishes” (Evans, D.H.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Claibourne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J.B., Eds.). Third edition, CRC Press, Taylor &amp; Francis, Boca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Raton ,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pp. 343-386. (2006).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Endocrine Regulation of Fish Reproduction. In: "Encyclopedia of Fish Physiology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Genome to Environment" (Farrell, A.P., Ed.)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Elsevire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on line encyclopedia (in press).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Papers presented in symposia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Eliahou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Ofir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-Sivan, B., Gur, G., Rentier-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Delrue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Smal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Z. Studies on the regulation of growth hormone in tilapia. In: "Improving the Knowledge Base in Modern Aquaculture. (H. Rosenthal, 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Moav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H.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Gordin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Europ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Aqua. Soc. Spec. Publ. No. 25.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Gissis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Bayer, D.,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Holland, C., Zohar, Y.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Schreibman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M.P. Blocks along the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hypothal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amo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hypophyseal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-gonadal axis in immature black carp,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Mylopharyngodon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piceus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In: Proc. 5th. Int.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Symp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Reproductive Physiology of Fish, Austin 1995. (F. Goetz and P. Thomas, eds.), FishSymp95, University of Texas at Austin. pp. 22-24.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Holland, C.,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Gissis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Zohar, Y.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Long-term testosterone treatment stimulates GTH II synthesis and release in the pituitary of the black carp,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Mylopharyngodon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piceus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In: Proc. 5th Int.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Symp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Reproductive </w:t>
      </w:r>
      <w:r w:rsidRPr="00E40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Physiology of Fish, Austin 1995. (F. Goetz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P.Thomas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eds.), FishSymp95, University of Texas at Austin p. 32.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Schreibman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Magliulio-Cepriano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L. Pennant,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Gur, G. Observations of the brain-pituitary-gonad axis in immature black carp. In: Proc. 5th Int.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Symp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Reproductive Physiology of Fish, Austin 1995. (F. Goetz and P. Thomas, eds.), FishSymp95, University of Texas at Austin. p. 77.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Z. Intracellular mediation of the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effect on transcription of the tilapia GTH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IIß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gene. In: Proc. 5th Int.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Symp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Reproductive Physiology of Fish, Austin 1995. (F. Goetz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P.Thomas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eds.), FishSymp95, University of Texas at Austin. p. 38. (1995).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Zilberstein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Y., Cohen, Y.,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Zmora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Effects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steroids on the transcription of the tilapia glycoprotein hormone subunit gene. In: Recent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Developemnt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in Comparative Endocrinology and Neurobiology (E.W.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Robous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Wendelaar-Bonga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Vaudry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A. De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Loof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European Society for Comparative Endocrinology, Nijmegen. (1999). pp. 29-30.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Z., Sivan, B.,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Drori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S.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Kulikovsky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Spawning induction in cyprinids: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hypophyseal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hypothalamic approaches.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Acquacolture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Internazionale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Verona (1999).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Mechanisms involved in the effect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PACAP, and NPY on gonadotropin subunit mRNAs in tilapia pituitary cells.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University of Bergen, pp. 466-468.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Kandel-Kfir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M.,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Zmora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Kobayashi, M.,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FSHb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LHb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mRNAs in maturing male and female common carp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Cyprinus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carpio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) and the response to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University of Bergen, p. 483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I,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Melamed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P., Gur,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Characterization of the tilapia b FSH gene and the analysis of its splice variants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eds.). University of Bergen, p. 484.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Zilberstein1, Y., Cohen, Y., Gur, G., Rosenfeld, H.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Z.Nonylphenol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xenoestrogen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in tilapia –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hypophyseal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effects.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University of Bergen, p. 374.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Cohen, Y.,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Zilberstein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Y.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Effect of native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xenoestrogen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on the pituitary- gonadal axis in male tilapia.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University of Bergen, p. 375.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lastRenderedPageBreak/>
        <w:t>Elizur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Zmora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Kasoto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Rosenfeld, H, Kobayashi, M, Zohar, Y.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Gonadotropins - from genes to recombinant proteins. In: Proceedings of the 6th International Symposium on Reproductive Physiology of Fish, Bergen 1999 (B.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Norberg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O.S.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Kjesbu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G.L.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Taranger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S.O. Stefansson,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>.). University of Bergen, pp. 462-465. (2000).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Gur G.,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Bonfil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Safarian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Naor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 Role of mitogen- activated protein kinase (MAPK) in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receptor signaling in tilapia pituitary cells. In: Perspective in Comparative Endocrinology: Unity and Diversity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Goos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H.J.Th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Rastogi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R.K.,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Vaudry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Pierantoni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R. Eds.).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Monduzzi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Editore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Bologna. pp. 53-61 (2001).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Safarian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H., Gur, G., Rosenfeld, H.,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Z.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Levavi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-Sivan, B. Regulation of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receptors in tilapia pituitary. In: Perspective in Comparative Endocrinology: Unity and Diversity (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Goos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H.J.Th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Rastogi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R.K.,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Vaudry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H. and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Pierantoni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R. Eds.).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Monduzzi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Editore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, Bologna. pp. 639-645 (2001).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Z .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Gur, G., and Rosenfeld, H. Gonadotropin subunit genes in tilapia are differentially regulated by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GnRH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PACAP and NPY: Divergence of signal transduction pathways. 6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International Symposium on Fish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Endopcrinology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40226">
        <w:rPr>
          <w:rFonts w:ascii="Times New Roman" w:eastAsia="Times New Roman" w:hAnsi="Times New Roman" w:cs="Times New Roman"/>
          <w:sz w:val="24"/>
          <w:szCs w:val="24"/>
        </w:rPr>
        <w:t>Calgary ,</w:t>
      </w:r>
      <w:proofErr w:type="gram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Satellite Symposium Abstract Sat 10 (2008)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b/>
          <w:bCs/>
          <w:sz w:val="24"/>
          <w:szCs w:val="24"/>
        </w:rPr>
        <w:t>Books edited</w:t>
      </w:r>
    </w:p>
    <w:p w:rsidR="00E40226" w:rsidRPr="00E40226" w:rsidRDefault="00E40226" w:rsidP="00E4022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Fishelson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 xml:space="preserve"> and Z. </w:t>
      </w:r>
      <w:proofErr w:type="spellStart"/>
      <w:r w:rsidRPr="00E40226">
        <w:rPr>
          <w:rFonts w:ascii="Times New Roman" w:eastAsia="Times New Roman" w:hAnsi="Times New Roman" w:cs="Times New Roman"/>
          <w:sz w:val="24"/>
          <w:szCs w:val="24"/>
        </w:rPr>
        <w:t>Yaron</w:t>
      </w:r>
      <w:proofErr w:type="spellEnd"/>
      <w:r w:rsidRPr="00E40226">
        <w:rPr>
          <w:rFonts w:ascii="Times New Roman" w:eastAsia="Times New Roman" w:hAnsi="Times New Roman" w:cs="Times New Roman"/>
          <w:sz w:val="24"/>
          <w:szCs w:val="24"/>
        </w:rPr>
        <w:t>. International Symposium on Tilapia in Aquaculture - Proceedings, Tel-Aviv University, 624 pp. (1983).</w:t>
      </w:r>
    </w:p>
    <w:p w:rsidR="0098792D" w:rsidRDefault="00E40226" w:rsidP="00E40226">
      <w:pPr>
        <w:bidi w:val="0"/>
      </w:pPr>
    </w:p>
    <w:sectPr w:rsidR="0098792D" w:rsidSect="00AB66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201"/>
    <w:multiLevelType w:val="multilevel"/>
    <w:tmpl w:val="C37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311DA"/>
    <w:multiLevelType w:val="multilevel"/>
    <w:tmpl w:val="184A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6"/>
    <w:rsid w:val="00AB6606"/>
    <w:rsid w:val="00E40226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4B84"/>
  <w15:chartTrackingRefBased/>
  <w15:docId w15:val="{47F83DDC-F585-4D85-81B8-82D0EFA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4022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4022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402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0226"/>
    <w:rPr>
      <w:color w:val="0000FF"/>
      <w:u w:val="single"/>
    </w:rPr>
  </w:style>
  <w:style w:type="character" w:customStyle="1" w:styleId="label">
    <w:name w:val="label"/>
    <w:basedOn w:val="DefaultParagraphFont"/>
    <w:rsid w:val="00E40226"/>
  </w:style>
  <w:style w:type="paragraph" w:styleId="NormalWeb">
    <w:name w:val="Normal (Web)"/>
    <w:basedOn w:val="Normal"/>
    <w:uiPriority w:val="99"/>
    <w:semiHidden/>
    <w:unhideWhenUsed/>
    <w:rsid w:val="00E40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u.ac.il/profile/yaro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tau.ac.il/profile/yaro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tau.ac.il/profile/yaron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lish.tau.ac.il/profile/yaronz" TargetMode="External"/><Relationship Id="rId10" Type="http://schemas.openxmlformats.org/officeDocument/2006/relationships/hyperlink" Target="mailto:yaronz@tauex.tau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2291</Words>
  <Characters>11459</Characters>
  <Application>Microsoft Office Word</Application>
  <DocSecurity>0</DocSecurity>
  <Lines>95</Lines>
  <Paragraphs>27</Paragraphs>
  <ScaleCrop>false</ScaleCrop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1</cp:revision>
  <dcterms:created xsi:type="dcterms:W3CDTF">2020-11-08T07:34:00Z</dcterms:created>
  <dcterms:modified xsi:type="dcterms:W3CDTF">2020-11-08T07:36:00Z</dcterms:modified>
</cp:coreProperties>
</file>